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922D2" w14:textId="77777777" w:rsidR="008F63AC" w:rsidRPr="008F63AC" w:rsidRDefault="008F63AC" w:rsidP="008F63AC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3500" w:type="pct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9"/>
      </w:tblGrid>
      <w:tr w:rsidR="008F63AC" w:rsidRPr="008F63AC" w14:paraId="6CF7AFAE" w14:textId="77777777" w:rsidTr="008F63AC">
        <w:trPr>
          <w:trHeight w:val="500"/>
          <w:tblCellSpacing w:w="0" w:type="dxa"/>
          <w:jc w:val="center"/>
        </w:trPr>
        <w:tc>
          <w:tcPr>
            <w:tcW w:w="1600" w:type="pct"/>
            <w:shd w:val="clear" w:color="auto" w:fill="FFFFFF"/>
            <w:vAlign w:val="center"/>
            <w:hideMark/>
          </w:tcPr>
          <w:p w14:paraId="3A79C7ED" w14:textId="77777777" w:rsidR="008F63AC" w:rsidRPr="008F63AC" w:rsidRDefault="008F63AC" w:rsidP="008F63AC">
            <w:pPr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</w:pPr>
            <w:r w:rsidRPr="008F63A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Junho/2021</w:t>
            </w:r>
          </w:p>
        </w:tc>
      </w:tr>
    </w:tbl>
    <w:p w14:paraId="751B8538" w14:textId="77777777" w:rsidR="008F63AC" w:rsidRPr="008F63AC" w:rsidRDefault="008F63AC" w:rsidP="008F63AC">
      <w:pPr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W w:w="3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</w:tblGrid>
      <w:tr w:rsidR="008F63AC" w:rsidRPr="008F63AC" w14:paraId="19A33A9D" w14:textId="77777777" w:rsidTr="008F63AC">
        <w:trPr>
          <w:trHeight w:val="84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C04F4CD" w14:textId="77777777" w:rsidR="008F63AC" w:rsidRDefault="008F63AC" w:rsidP="008F63A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</w:pPr>
            <w:r w:rsidRPr="008F63AC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ARTIGO POR FABIO MESTRINER</w:t>
            </w:r>
          </w:p>
          <w:p w14:paraId="7B630A63" w14:textId="77777777" w:rsidR="008F63AC" w:rsidRDefault="008F63AC" w:rsidP="008F63A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</w:pPr>
          </w:p>
          <w:p w14:paraId="0A698356" w14:textId="67528642" w:rsidR="008F63AC" w:rsidRDefault="008F63AC" w:rsidP="008F63A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</w:pP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pt-BR"/>
              </w:rPr>
              <w:drawing>
                <wp:inline distT="0" distB="0" distL="0" distR="0" wp14:anchorId="63F570D5" wp14:editId="64466D92">
                  <wp:extent cx="3322320" cy="3194478"/>
                  <wp:effectExtent l="0" t="0" r="508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497" cy="320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29B79" w14:textId="21927399" w:rsidR="008F63AC" w:rsidRPr="008F63AC" w:rsidRDefault="008F63AC" w:rsidP="008F63AC">
            <w:pPr>
              <w:spacing w:before="100" w:beforeAutospacing="1" w:after="100" w:afterAutospacing="1"/>
              <w:jc w:val="both"/>
              <w:rPr>
                <w:rFonts w:ascii="-webkit-standard" w:eastAsia="Times New Roman" w:hAnsi="-webkit-standard" w:cs="Times New Roman"/>
                <w:color w:val="000000"/>
                <w:lang w:eastAsia="pt-BR"/>
              </w:rPr>
            </w:pPr>
          </w:p>
        </w:tc>
      </w:tr>
    </w:tbl>
    <w:p w14:paraId="12BDA6B8" w14:textId="77777777" w:rsidR="008F63AC" w:rsidRDefault="008F63AC" w:rsidP="008F63AC">
      <w:pPr>
        <w:rPr>
          <w:rFonts w:ascii="Helvetica Neue Thin" w:hAnsi="Helvetica Neue Thin"/>
          <w:sz w:val="44"/>
          <w:szCs w:val="44"/>
        </w:rPr>
      </w:pPr>
    </w:p>
    <w:p w14:paraId="7834E5E8" w14:textId="17863576" w:rsidR="000D20B6" w:rsidRPr="000D20B6" w:rsidRDefault="000D20B6" w:rsidP="000D20B6">
      <w:pPr>
        <w:jc w:val="center"/>
        <w:rPr>
          <w:rFonts w:ascii="Helvetica Neue Thin" w:hAnsi="Helvetica Neue Thin"/>
          <w:sz w:val="44"/>
          <w:szCs w:val="44"/>
        </w:rPr>
      </w:pPr>
      <w:r w:rsidRPr="000D20B6">
        <w:rPr>
          <w:rFonts w:ascii="Helvetica Neue Thin" w:hAnsi="Helvetica Neue Thin"/>
          <w:sz w:val="44"/>
          <w:szCs w:val="44"/>
        </w:rPr>
        <w:t>O novo cenário competitivo exige</w:t>
      </w:r>
    </w:p>
    <w:p w14:paraId="29401BC4" w14:textId="28A3AACB" w:rsidR="00BD43AC" w:rsidRPr="000D20B6" w:rsidRDefault="000D20B6" w:rsidP="000D20B6">
      <w:pPr>
        <w:jc w:val="center"/>
        <w:rPr>
          <w:rFonts w:ascii="Helvetica Neue Thin" w:hAnsi="Helvetica Neue Thin"/>
          <w:sz w:val="44"/>
          <w:szCs w:val="44"/>
        </w:rPr>
      </w:pPr>
      <w:r w:rsidRPr="000D20B6">
        <w:rPr>
          <w:rFonts w:ascii="Helvetica Neue Thin" w:hAnsi="Helvetica Neue Thin"/>
          <w:sz w:val="44"/>
          <w:szCs w:val="44"/>
        </w:rPr>
        <w:t xml:space="preserve">mais </w:t>
      </w:r>
      <w:r w:rsidR="008F63AC">
        <w:rPr>
          <w:rFonts w:ascii="Helvetica Neue Thin" w:hAnsi="Helvetica Neue Thin"/>
          <w:sz w:val="44"/>
          <w:szCs w:val="44"/>
        </w:rPr>
        <w:t>I</w:t>
      </w:r>
      <w:r w:rsidRPr="000D20B6">
        <w:rPr>
          <w:rFonts w:ascii="Helvetica Neue Thin" w:hAnsi="Helvetica Neue Thin"/>
          <w:sz w:val="44"/>
          <w:szCs w:val="44"/>
        </w:rPr>
        <w:t xml:space="preserve">nteligência na </w:t>
      </w:r>
      <w:r w:rsidR="008F63AC">
        <w:rPr>
          <w:rFonts w:ascii="Helvetica Neue Thin" w:hAnsi="Helvetica Neue Thin"/>
          <w:sz w:val="44"/>
          <w:szCs w:val="44"/>
        </w:rPr>
        <w:t>G</w:t>
      </w:r>
      <w:r w:rsidRPr="000D20B6">
        <w:rPr>
          <w:rFonts w:ascii="Helvetica Neue Thin" w:hAnsi="Helvetica Neue Thin"/>
          <w:sz w:val="44"/>
          <w:szCs w:val="44"/>
        </w:rPr>
        <w:t>estão e Embalagem</w:t>
      </w:r>
    </w:p>
    <w:p w14:paraId="55A980C4" w14:textId="5AEE3605" w:rsidR="000D20B6" w:rsidRDefault="000D20B6">
      <w:pPr>
        <w:rPr>
          <w:rFonts w:ascii="Helvetica Neue Thin" w:hAnsi="Helvetica Neue Thin"/>
          <w:sz w:val="28"/>
          <w:szCs w:val="28"/>
        </w:rPr>
      </w:pPr>
    </w:p>
    <w:p w14:paraId="7F9B3721" w14:textId="3F43539E" w:rsidR="000D20B6" w:rsidRDefault="000D20B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Com a pandemia que surgiu na China e rapidamente se espalhou pelo mundo, novos desafios surgiram para o setor de embalagem. Desafios que vem exigindo dos profissionais que atuam neste setor ações emergenciais e de superação de dificuldades de todos os tipos.</w:t>
      </w:r>
    </w:p>
    <w:p w14:paraId="57118E40" w14:textId="1B7AD0F6" w:rsidR="000D20B6" w:rsidRDefault="000D20B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Todos sabemos que a embalagem é um componente fundamental para a vida humana pois ela está presente em praticamente todas as atividades necessárias à sustentação da vida, seja na proteção, conservação e transporte dos alimentos, nos medicamentos, produtos de higiene pessoal e do lar e assim por diante. Hoje podemos afirmar que a embalagem é como a eletricidade, nossa sociedade não consegue mais funcionar sem ela.</w:t>
      </w:r>
    </w:p>
    <w:p w14:paraId="51AF2470" w14:textId="7390283C" w:rsidR="000D20B6" w:rsidRDefault="000D20B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lastRenderedPageBreak/>
        <w:t>Mas, ao mesmo tempo que sua presença ajuda e apoia todas as atividades, uma vez que mais de 80% de tudo o que é produzido no mundo utiliza alguma forma de embalagem, ela tem custos que incidem na formação do preço do produto</w:t>
      </w:r>
      <w:r w:rsidR="008E6796">
        <w:rPr>
          <w:rFonts w:ascii="Helvetica Neue Thin" w:hAnsi="Helvetica Neue Thin"/>
          <w:sz w:val="28"/>
          <w:szCs w:val="28"/>
        </w:rPr>
        <w:t>, sendo qu</w:t>
      </w:r>
      <w:r>
        <w:rPr>
          <w:rFonts w:ascii="Helvetica Neue Thin" w:hAnsi="Helvetica Neue Thin"/>
          <w:sz w:val="28"/>
          <w:szCs w:val="28"/>
        </w:rPr>
        <w:t xml:space="preserve">e em muitos </w:t>
      </w:r>
      <w:r w:rsidR="008E6796">
        <w:rPr>
          <w:rFonts w:ascii="Helvetica Neue Thin" w:hAnsi="Helvetica Neue Thin"/>
          <w:sz w:val="28"/>
          <w:szCs w:val="28"/>
        </w:rPr>
        <w:t>deles</w:t>
      </w:r>
      <w:r>
        <w:rPr>
          <w:rFonts w:ascii="Helvetica Neue Thin" w:hAnsi="Helvetica Neue Thin"/>
          <w:sz w:val="28"/>
          <w:szCs w:val="28"/>
        </w:rPr>
        <w:t>, este curso tem valor relevante</w:t>
      </w:r>
      <w:r w:rsidR="008E6796">
        <w:rPr>
          <w:rFonts w:ascii="Helvetica Neue Thin" w:hAnsi="Helvetica Neue Thin"/>
          <w:sz w:val="28"/>
          <w:szCs w:val="28"/>
        </w:rPr>
        <w:t>, razão pelo qual os profissionais de embalagem estão sempre sendo requisitados para ações que reduzam os custos deste item.</w:t>
      </w:r>
    </w:p>
    <w:p w14:paraId="21B73EE3" w14:textId="7F44A3DB" w:rsidR="008E6796" w:rsidRDefault="008E679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Com a pandemia, o preço das matérias primas e dos insumos os subiu vertiginosamente obrigando a indústria a se desdobrar para atender a demanda e a falta de embalagens de alguns materiais fez os preços subirem ainda mais.</w:t>
      </w:r>
    </w:p>
    <w:p w14:paraId="6A5F0A5F" w14:textId="0ED1C361" w:rsidR="008E6796" w:rsidRDefault="008E6796" w:rsidP="008E679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Faço aqui um parêntes</w:t>
      </w:r>
      <w:r w:rsidR="00B44658">
        <w:rPr>
          <w:rFonts w:ascii="Helvetica Neue Thin" w:hAnsi="Helvetica Neue Thin"/>
          <w:sz w:val="28"/>
          <w:szCs w:val="28"/>
        </w:rPr>
        <w:t>es; n</w:t>
      </w:r>
      <w:r>
        <w:rPr>
          <w:rFonts w:ascii="Helvetica Neue Thin" w:hAnsi="Helvetica Neue Thin"/>
          <w:sz w:val="28"/>
          <w:szCs w:val="28"/>
        </w:rPr>
        <w:t>o final de 2019 escrevi um artigo cujo título foi profético</w:t>
      </w:r>
      <w:r w:rsidRPr="008E6796">
        <w:rPr>
          <w:rFonts w:ascii="Helvetica Neue Thin" w:hAnsi="Helvetica Neue Thin"/>
          <w:i/>
          <w:iCs/>
          <w:sz w:val="44"/>
          <w:szCs w:val="44"/>
          <w:u w:val="single"/>
        </w:rPr>
        <w:t xml:space="preserve">: </w:t>
      </w:r>
      <w:hyperlink r:id="rId5" w:tgtFrame="self" w:history="1">
        <w:r w:rsidRPr="008E6796">
          <w:rPr>
            <w:rFonts w:ascii="Tahoma" w:eastAsia="Times New Roman" w:hAnsi="Tahoma" w:cs="Tahoma"/>
            <w:i/>
            <w:iCs/>
            <w:color w:val="666666"/>
            <w:sz w:val="28"/>
            <w:szCs w:val="28"/>
            <w:u w:val="single"/>
            <w:lang w:eastAsia="pt-BR"/>
          </w:rPr>
          <w:t>Em 2020 o problema não vai ser vender, será entregar!</w:t>
        </w:r>
      </w:hyperlink>
      <w:r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t-BR"/>
        </w:rPr>
        <w:t xml:space="preserve"> </w:t>
      </w:r>
      <w:r>
        <w:rPr>
          <w:rFonts w:ascii="Helvetica Neue Thin" w:hAnsi="Helvetica Neue Thin"/>
          <w:sz w:val="28"/>
          <w:szCs w:val="28"/>
        </w:rPr>
        <w:t>Como tantas outras, esta profecia foi um tiro que saiu pela culatra pois em vez de faltar embalagem devido aos 3,5% de crescimento do nosso PIB previsto para o ano, tivemos um vírus mortal que derrubou não só a economia brasileira, mas as economias do mundo todo. Mas numa coisa eu acertei. “Faltou Embalagem” e isso gerou as consequências que todos tivemos que lidar.</w:t>
      </w:r>
    </w:p>
    <w:p w14:paraId="46A4046A" w14:textId="0EE40EA0" w:rsidR="008E6796" w:rsidRDefault="008E6796" w:rsidP="008E679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Agora que o mundo começa lentamente a voltar à vida normal, os desafios que surgiram com a pandemia e cujos efeitos ainda se fazem sentir,</w:t>
      </w:r>
      <w:r w:rsidR="00B44658">
        <w:rPr>
          <w:rFonts w:ascii="Helvetica Neue Thin" w:hAnsi="Helvetica Neue Thin"/>
          <w:sz w:val="28"/>
          <w:szCs w:val="28"/>
        </w:rPr>
        <w:t xml:space="preserve"> precisam ser enfrentados com mais inteligência na gestão deste item fundamental que ganhou maior relevância no cenário gerado pela pandemia pois ficou claro seu impacto cada vez maior nos negócios.</w:t>
      </w:r>
    </w:p>
    <w:p w14:paraId="5E11C53F" w14:textId="3F903D56" w:rsidR="002A5FC3" w:rsidRDefault="002A5FC3" w:rsidP="008E679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No início de 2008 o Núcleo de Estudos da Embalagem ESPM produziu com a GFK um “Diagnóstico da Gestão de Embalagem no Brasil” que foi discutido num Fórum sobre este tema. Ficou demonstrado neste diagnóstico que os profissionais de embalagem pesquisados, estavam dedicados prioritariamente à “redução de Custos de embalagem e poucos conheciam o conceito de Gestão Estratégica de Embalagem, ou seja, como gerir de forma estratégica este componente fundamental de sua atividade.</w:t>
      </w:r>
    </w:p>
    <w:p w14:paraId="1B8DD500" w14:textId="25640224" w:rsidR="002A5FC3" w:rsidRDefault="002A5FC3" w:rsidP="008E679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Agora, importantes mudanças ocorridas</w:t>
      </w:r>
      <w:r w:rsidR="00CA7620">
        <w:rPr>
          <w:rFonts w:ascii="Helvetica Neue Thin" w:hAnsi="Helvetica Neue Thin"/>
          <w:sz w:val="28"/>
          <w:szCs w:val="28"/>
        </w:rPr>
        <w:t xml:space="preserve"> em 2020 abriram a porta para a ressignificação da atividade, uma vez que para muitas empresas, a embalagem se tornou o problema que mais afetou seus negócios, seja pela falta deste item, seja pelo aumento de seus preços ou pelas mudanças geradas pelo e-commerce, as vendas </w:t>
      </w:r>
      <w:r w:rsidR="00CA7620" w:rsidRPr="00CA7620">
        <w:rPr>
          <w:rFonts w:ascii="Helvetica Neue Thin" w:hAnsi="Helvetica Neue Thin"/>
          <w:i/>
          <w:iCs/>
          <w:sz w:val="28"/>
          <w:szCs w:val="28"/>
        </w:rPr>
        <w:t>online</w:t>
      </w:r>
      <w:r w:rsidR="00CA7620">
        <w:rPr>
          <w:rFonts w:ascii="Helvetica Neue Thin" w:hAnsi="Helvetica Neue Thin"/>
          <w:sz w:val="28"/>
          <w:szCs w:val="28"/>
        </w:rPr>
        <w:t xml:space="preserve"> e a ação de concorrentes que compreenderam mais rapidamente as mudanças no cenário e se anteciparam em ajustar-se.</w:t>
      </w:r>
    </w:p>
    <w:p w14:paraId="08B2DF98" w14:textId="7FEEEFB8" w:rsidR="00CA7620" w:rsidRDefault="00CA7620" w:rsidP="008E679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lastRenderedPageBreak/>
        <w:t xml:space="preserve">Para todos que desejam continuar no negócio e nele prosperarem fica aqui minha recomendação: A embalagem ganhou maior relevância no novo cenário competitivo e não pode mais ser tratada meramente como um insumo de produção. O conceito de </w:t>
      </w:r>
      <w:r w:rsidRPr="00CA7620">
        <w:rPr>
          <w:rFonts w:ascii="Helvetica Neue Thin" w:hAnsi="Helvetica Neue Thin"/>
          <w:i/>
          <w:iCs/>
          <w:sz w:val="28"/>
          <w:szCs w:val="28"/>
        </w:rPr>
        <w:t>“Inteligência de Embalagem”</w:t>
      </w:r>
      <w:r>
        <w:rPr>
          <w:rFonts w:ascii="Helvetica Neue Thin" w:hAnsi="Helvetica Neue Thin"/>
          <w:sz w:val="28"/>
          <w:szCs w:val="28"/>
        </w:rPr>
        <w:t xml:space="preserve">, assim como aconteceu com a </w:t>
      </w:r>
      <w:r w:rsidRPr="00EA5316">
        <w:rPr>
          <w:rFonts w:ascii="Helvetica Neue Thin" w:hAnsi="Helvetica Neue Thin"/>
          <w:i/>
          <w:iCs/>
          <w:sz w:val="28"/>
          <w:szCs w:val="28"/>
        </w:rPr>
        <w:t>“Gestão Estratégica de Embalagem”</w:t>
      </w:r>
      <w:r>
        <w:rPr>
          <w:rFonts w:ascii="Helvetica Neue Thin" w:hAnsi="Helvetica Neue Thin"/>
          <w:sz w:val="28"/>
          <w:szCs w:val="28"/>
        </w:rPr>
        <w:t xml:space="preserve"> precisa ser conhecido e aplicado pois a embalagem não pode mais ser utilizada apenas para </w:t>
      </w:r>
      <w:r w:rsidRPr="00EA5316">
        <w:rPr>
          <w:rFonts w:ascii="Helvetica Neue Thin" w:hAnsi="Helvetica Neue Thin"/>
          <w:i/>
          <w:iCs/>
          <w:sz w:val="28"/>
          <w:szCs w:val="28"/>
        </w:rPr>
        <w:t>“</w:t>
      </w:r>
      <w:r w:rsidR="00EA5316">
        <w:rPr>
          <w:rFonts w:ascii="Helvetica Neue Thin" w:hAnsi="Helvetica Neue Thin"/>
          <w:i/>
          <w:iCs/>
          <w:sz w:val="28"/>
          <w:szCs w:val="28"/>
        </w:rPr>
        <w:t>c</w:t>
      </w:r>
      <w:r w:rsidRPr="00EA5316">
        <w:rPr>
          <w:rFonts w:ascii="Helvetica Neue Thin" w:hAnsi="Helvetica Neue Thin"/>
          <w:i/>
          <w:iCs/>
          <w:sz w:val="28"/>
          <w:szCs w:val="28"/>
        </w:rPr>
        <w:t xml:space="preserve">arregar” </w:t>
      </w:r>
      <w:r>
        <w:rPr>
          <w:rFonts w:ascii="Helvetica Neue Thin" w:hAnsi="Helvetica Neue Thin"/>
          <w:sz w:val="28"/>
          <w:szCs w:val="28"/>
        </w:rPr>
        <w:t>o produto, ela precisa ajudar, deforma cada vez mais decisiva, o negócio da empresa.</w:t>
      </w:r>
    </w:p>
    <w:p w14:paraId="01F6516C" w14:textId="77777777" w:rsidR="00B44658" w:rsidRPr="008E6796" w:rsidRDefault="00B44658" w:rsidP="008E6796">
      <w:pPr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t-BR"/>
        </w:rPr>
      </w:pPr>
    </w:p>
    <w:p w14:paraId="77623017" w14:textId="77777777" w:rsidR="00CA7620" w:rsidRDefault="00CA7620">
      <w:pPr>
        <w:rPr>
          <w:rFonts w:ascii="Helvetica Neue Thin" w:hAnsi="Helvetica Neue Thin"/>
          <w:sz w:val="28"/>
          <w:szCs w:val="28"/>
        </w:rPr>
      </w:pPr>
      <w:r w:rsidRPr="00CA7620">
        <w:rPr>
          <w:rFonts w:ascii="Helvetica Neue Thin" w:hAnsi="Helvetica Neue Thin"/>
          <w:sz w:val="28"/>
          <w:szCs w:val="28"/>
        </w:rPr>
        <w:t xml:space="preserve">Fabio Mestriner </w:t>
      </w:r>
    </w:p>
    <w:p w14:paraId="063E0D0A" w14:textId="54C8F594" w:rsidR="00CA7620" w:rsidRPr="00CA7620" w:rsidRDefault="00CA7620">
      <w:pPr>
        <w:rPr>
          <w:rFonts w:ascii="Helvetica Neue Thin" w:hAnsi="Helvetica Neue Thin"/>
          <w:i/>
          <w:iCs/>
        </w:rPr>
      </w:pPr>
      <w:r w:rsidRPr="00CA7620">
        <w:rPr>
          <w:rFonts w:ascii="Helvetica Neue Thin" w:hAnsi="Helvetica Neue Thin"/>
          <w:i/>
          <w:iCs/>
        </w:rPr>
        <w:t>Professor Coordenador do Núcleo de Estudos da Embalagem ESPM</w:t>
      </w:r>
    </w:p>
    <w:p w14:paraId="3C8221B5" w14:textId="34FD3E69" w:rsidR="00CA7620" w:rsidRPr="00CA7620" w:rsidRDefault="00CA7620">
      <w:pPr>
        <w:rPr>
          <w:rFonts w:ascii="Helvetica Neue Thin" w:hAnsi="Helvetica Neue Thin"/>
          <w:i/>
          <w:iCs/>
        </w:rPr>
      </w:pPr>
      <w:r w:rsidRPr="00CA7620">
        <w:rPr>
          <w:rFonts w:ascii="Helvetica Neue Thin" w:hAnsi="Helvetica Neue Thin"/>
          <w:i/>
          <w:iCs/>
        </w:rPr>
        <w:t>Autor dos livros: Gestão Estratégica de Embalagem e</w:t>
      </w:r>
    </w:p>
    <w:p w14:paraId="0EB0069B" w14:textId="6D185367" w:rsidR="00CA7620" w:rsidRPr="00CA7620" w:rsidRDefault="00CA7620">
      <w:pPr>
        <w:rPr>
          <w:rFonts w:ascii="Helvetica Neue Thin" w:hAnsi="Helvetica Neue Thin"/>
          <w:i/>
          <w:iCs/>
        </w:rPr>
      </w:pPr>
      <w:r w:rsidRPr="00CA7620">
        <w:rPr>
          <w:rFonts w:ascii="Helvetica Neue Thin" w:hAnsi="Helvetica Neue Thin"/>
          <w:i/>
          <w:iCs/>
        </w:rPr>
        <w:t>Inovação na Embalagem – Manual Prático</w:t>
      </w:r>
    </w:p>
    <w:sectPr w:rsidR="00CA7620" w:rsidRPr="00CA7620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 Thin">
    <w:altName w:val="﷽﷽﷽﷽﷽﷽﷽﷽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B6"/>
    <w:rsid w:val="0007066F"/>
    <w:rsid w:val="000D20B6"/>
    <w:rsid w:val="001C0489"/>
    <w:rsid w:val="002A5FC3"/>
    <w:rsid w:val="002F5153"/>
    <w:rsid w:val="00526D5C"/>
    <w:rsid w:val="005A6C58"/>
    <w:rsid w:val="0062770A"/>
    <w:rsid w:val="00692AD5"/>
    <w:rsid w:val="006F081F"/>
    <w:rsid w:val="0077529E"/>
    <w:rsid w:val="00867E66"/>
    <w:rsid w:val="008E6796"/>
    <w:rsid w:val="008F63AC"/>
    <w:rsid w:val="00985637"/>
    <w:rsid w:val="00B23BDC"/>
    <w:rsid w:val="00B44658"/>
    <w:rsid w:val="00CA7620"/>
    <w:rsid w:val="00D81852"/>
    <w:rsid w:val="00E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312F1"/>
  <w14:defaultImageDpi w14:val="32767"/>
  <w15:chartTrackingRefBased/>
  <w15:docId w15:val="{D4FEFFF1-6D88-E541-91FE-21FCA1D8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character" w:styleId="Hyperlink">
    <w:name w:val="Hyperlink"/>
    <w:basedOn w:val="Fontepargpadro"/>
    <w:uiPriority w:val="99"/>
    <w:semiHidden/>
    <w:unhideWhenUsed/>
    <w:rsid w:val="008E67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63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fontcinza2">
    <w:name w:val="fontcinza2"/>
    <w:basedOn w:val="Fontepargpadro"/>
    <w:rsid w:val="008F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riner.com.br/artigo19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4</cp:revision>
  <dcterms:created xsi:type="dcterms:W3CDTF">2021-06-26T09:19:00Z</dcterms:created>
  <dcterms:modified xsi:type="dcterms:W3CDTF">2021-06-26T13:20:00Z</dcterms:modified>
</cp:coreProperties>
</file>