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Artigo Fabio Mestriner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48"/>
          <w:szCs w:val="4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48"/>
          <w:szCs w:val="48"/>
          <w:rtl w:val="0"/>
        </w:rPr>
        <w:t xml:space="preserve">Estudo Macroeconômico da Abre mostra 10 anos de evolução dos números do setor de embalagem</w:t>
      </w:r>
    </w:p>
    <w:p w:rsidR="00000000" w:rsidDel="00000000" w:rsidP="00000000" w:rsidRDefault="00000000" w:rsidRPr="00000000" w14:paraId="00000003">
      <w:pPr>
        <w:jc w:val="center"/>
        <w:rPr>
          <w:rFonts w:ascii="Helvetica Neue" w:cs="Helvetica Neue" w:eastAsia="Helvetica Neue" w:hAnsi="Helvetica Neue"/>
          <w:b w:val="1"/>
          <w:sz w:val="44"/>
          <w:szCs w:val="4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44"/>
          <w:szCs w:val="44"/>
        </w:rPr>
        <w:drawing>
          <wp:inline distB="0" distT="0" distL="0" distR="0">
            <wp:extent cx="5943600" cy="5967730"/>
            <wp:effectExtent b="0" l="0" r="0" t="0"/>
            <wp:docPr descr="A cartoon of a family with a baby in a shopping cart&#10;&#10;Description automatically generated" id="1895735056" name="image2.png"/>
            <a:graphic>
              <a:graphicData uri="http://schemas.openxmlformats.org/drawingml/2006/picture">
                <pic:pic>
                  <pic:nvPicPr>
                    <pic:cNvPr descr="A cartoon of a family with a baby in a shopping cart&#10;&#10;Description automatically generated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7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Helvetica Neue Light" w:cs="Helvetica Neue Light" w:eastAsia="Helvetica Neue Light" w:hAnsi="Helvetica Neue Light"/>
          <w:sz w:val="32"/>
          <w:szCs w:val="32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32"/>
          <w:szCs w:val="32"/>
          <w:rtl w:val="0"/>
        </w:rPr>
        <w:t xml:space="preserve">Imagem AI Copilot Design</w:t>
      </w:r>
    </w:p>
    <w:p w:rsidR="00000000" w:rsidDel="00000000" w:rsidP="00000000" w:rsidRDefault="00000000" w:rsidRPr="00000000" w14:paraId="00000005">
      <w:pPr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b w:val="1"/>
          <w:sz w:val="44"/>
          <w:szCs w:val="44"/>
          <w:rtl w:val="0"/>
        </w:rPr>
        <w:t xml:space="preserve">A </w:t>
      </w: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produção e o consumo de embalagens é um dos termômetros que os economistas consultam para avalia o nível da atividade econômica pois eles sabem que cerca de 80% de tudo que é produzido nas fábricas segue para o mercado dentro de uma embalagem. </w:t>
      </w:r>
    </w:p>
    <w:p w:rsidR="00000000" w:rsidDel="00000000" w:rsidP="00000000" w:rsidRDefault="00000000" w:rsidRPr="00000000" w14:paraId="00000006">
      <w:pPr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Sabem também que o desempenho dos supermercados e do varejo de alimentos, bebidas, produtos de limpeza, cuidados pessoais, medicamentos, cosméticos e outros itens de consumo diário tem seu desempenho fortemente referenciados pelo consumo de embalagens.</w:t>
      </w:r>
    </w:p>
    <w:p w:rsidR="00000000" w:rsidDel="00000000" w:rsidP="00000000" w:rsidRDefault="00000000" w:rsidRPr="00000000" w14:paraId="00000007">
      <w:pPr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Quando coordenava o Núcleo de Estudos de embalagem da ESPM onde, no Laboratório de embalagem tinhamos acesso ao GNPD ( Global New Products Database) da Mintel, produzíamos um estudo sobre os lançamentos mundiais de embalagem publicado mensalmente, viramos fonte dos maiores jornalistas e publicações econômicas do país pois o material que divulgáva-mos era de grande utilidade para estes profissionais de veículos de informação.</w:t>
      </w:r>
    </w:p>
    <w:p w:rsidR="00000000" w:rsidDel="00000000" w:rsidP="00000000" w:rsidRDefault="00000000" w:rsidRPr="00000000" w14:paraId="00000008">
      <w:pPr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Não resta dúvida, portanto, sobre a importância dos dados macroenômicos do setor de embalagem para se ter uma visão confiável sobre o desempenho da nossa economia. </w:t>
      </w:r>
    </w:p>
    <w:p w:rsidR="00000000" w:rsidDel="00000000" w:rsidP="00000000" w:rsidRDefault="00000000" w:rsidRPr="00000000" w14:paraId="00000009">
      <w:pPr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Muito lovável a iniciativa da ABRE em disponibilizar em seu site, de forma aberta e gratúita, os dados de 2013 a 2023 que nos permitem visualizar em detalhes os números do setor em uma década completa.</w:t>
      </w:r>
    </w:p>
    <w:p w:rsidR="00000000" w:rsidDel="00000000" w:rsidP="00000000" w:rsidRDefault="00000000" w:rsidRPr="00000000" w14:paraId="0000000A">
      <w:pPr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Muitos dos que consultarem esses dados se supreenderão ao perceber que a despeito das oscilações da economia, a embalagem sustenta uma curva de crescimento constante aumentando o faturamento do setor de forma sólida e consistente e investidores podem concluir pela leitura desses gráficos que talvez devam considerar investir em ações de indústrias de embalagem.</w:t>
      </w:r>
    </w:p>
    <w:p w:rsidR="00000000" w:rsidDel="00000000" w:rsidP="00000000" w:rsidRDefault="00000000" w:rsidRPr="00000000" w14:paraId="0000000B">
      <w:pPr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 Os que observarão que nem sempre o crecimento do faturamento coincide com o aumento da produção, terão dificuldade em compreender como isso acontece e, portanto, é importante saber que a embalagem não está vinculada unicamente com o consumo, mas sua principal função é “uportar a vida Humana dos mais de 8 Bilhões de habitantes do Planeta que precisam utilizar embalagens para atender suas necessidades e anseios, garantido assim sua sobrevivência. </w:t>
      </w:r>
    </w:p>
    <w:p w:rsidR="00000000" w:rsidDel="00000000" w:rsidP="00000000" w:rsidRDefault="00000000" w:rsidRPr="00000000" w14:paraId="0000000C">
      <w:pPr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Isso faz com que ela está unida de forma indissolúvel à vida humana que mesmo em cenários adversos precisa continuar, mesmo que precise alterar suas preferências e seu modo de vida. </w:t>
      </w:r>
    </w:p>
    <w:p w:rsidR="00000000" w:rsidDel="00000000" w:rsidP="00000000" w:rsidRDefault="00000000" w:rsidRPr="00000000" w14:paraId="0000000D">
      <w:pPr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</w:rPr>
        <w:drawing>
          <wp:inline distB="0" distT="0" distL="0" distR="0">
            <wp:extent cx="5943600" cy="3369945"/>
            <wp:effectExtent b="0" l="0" r="0" t="0"/>
            <wp:docPr descr="A graph of blue columns with red text&#10;&#10;Description automatically generated" id="1895735057" name="image1.png"/>
            <a:graphic>
              <a:graphicData uri="http://schemas.openxmlformats.org/drawingml/2006/picture">
                <pic:pic>
                  <pic:nvPicPr>
                    <pic:cNvPr descr="A graph of blue columns with red text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Os números dos 3 trimestres já consolidados e os resultados de outubro e novembro indicam que o crescimento do setor continuará em 2024 com o mês de dezembro onde o consumo das festas de final de ano so faz confirmar e ampliar os resultados obtidos até agora.</w:t>
      </w:r>
    </w:p>
    <w:p w:rsidR="00000000" w:rsidDel="00000000" w:rsidP="00000000" w:rsidRDefault="00000000" w:rsidRPr="00000000" w14:paraId="0000000F">
      <w:pPr>
        <w:rPr>
          <w:rFonts w:ascii="Helvetica Neue Light" w:cs="Helvetica Neue Light" w:eastAsia="Helvetica Neue Light" w:hAnsi="Helvetica Neue Light"/>
          <w:sz w:val="28"/>
          <w:szCs w:val="28"/>
        </w:rPr>
      </w:pPr>
      <w:r w:rsidDel="00000000" w:rsidR="00000000" w:rsidRPr="00000000">
        <w:rPr>
          <w:rFonts w:ascii="Helvetica Neue Light" w:cs="Helvetica Neue Light" w:eastAsia="Helvetica Neue Light" w:hAnsi="Helvetica Neue Light"/>
          <w:sz w:val="28"/>
          <w:szCs w:val="28"/>
          <w:rtl w:val="0"/>
        </w:rPr>
        <w:t xml:space="preserve">Portanto, vale a pena consultar os dados do setor de embalagem tanto pelos profissionais desse setor como economistas, estudiosos de mercado e jornalistas econômicos.Confiram: </w:t>
      </w:r>
      <w:r w:rsidDel="00000000" w:rsidR="00000000" w:rsidRPr="00000000">
        <w:rPr>
          <w:rFonts w:ascii="PT Sans Narrow" w:cs="PT Sans Narrow" w:eastAsia="PT Sans Narrow" w:hAnsi="PT Sans Narrow"/>
          <w:color w:val="074f6a"/>
          <w:sz w:val="32"/>
          <w:szCs w:val="32"/>
          <w:u w:val="single"/>
          <w:rtl w:val="0"/>
        </w:rPr>
        <w:t xml:space="preserve">https://www.abre.org.br/dados-do-setor/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PT Sans Narrow">
    <w:embedRegular w:fontKey="{00000000-0000-0000-0000-000000000000}" r:id="rId3" w:subsetted="0"/>
    <w:embedBold w:fontKey="{00000000-0000-0000-0000-000000000000}" r:id="rId4" w:subsetted="0"/>
  </w:font>
  <w:font w:name="Helvetica Neue">
    <w:embedBold w:fontKey="{00000000-0000-0000-0000-000000000000}" r:id="rId5" w:subsetted="0"/>
    <w:embedBoldItalic w:fontKey="{00000000-0000-0000-0000-000000000000}" r:id="rId6" w:subsetted="0"/>
  </w:font>
  <w:font w:name="Helvetica Neue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-BR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816D12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816D12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816D12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816D12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816D12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816D12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816D12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816D12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816D12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816D12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816D12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816D12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816D12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816D12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816D12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816D12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816D12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816D12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816D12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16D1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816D12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16D12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816D12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816D12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816D12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816D12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816D12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16D12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816D12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PTSansNarrow-regular.ttf"/><Relationship Id="rId4" Type="http://schemas.openxmlformats.org/officeDocument/2006/relationships/font" Target="fonts/PTSansNarrow-bold.ttf"/><Relationship Id="rId10" Type="http://schemas.openxmlformats.org/officeDocument/2006/relationships/font" Target="fonts/HelveticaNeueLight-boldItalic.ttf"/><Relationship Id="rId9" Type="http://schemas.openxmlformats.org/officeDocument/2006/relationships/font" Target="fonts/HelveticaNeueLight-italic.ttf"/><Relationship Id="rId5" Type="http://schemas.openxmlformats.org/officeDocument/2006/relationships/font" Target="fonts/HelveticaNeue-bold.ttf"/><Relationship Id="rId6" Type="http://schemas.openxmlformats.org/officeDocument/2006/relationships/font" Target="fonts/HelveticaNeue-boldItalic.ttf"/><Relationship Id="rId7" Type="http://schemas.openxmlformats.org/officeDocument/2006/relationships/font" Target="fonts/HelveticaNeueLight-regular.ttf"/><Relationship Id="rId8" Type="http://schemas.openxmlformats.org/officeDocument/2006/relationships/font" Target="fonts/HelveticaNeueLigh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gfxqzhKwVoNvE/6U5dmnpb2mgQ==">CgMxLjA4AHIhMWtSNzYzaTlfWjlJTHlnQ05zUTZLUjV6UndDcEdIbWVP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2024-12-02T21:53:00Z</dcterms:created>
  <dc:creator>Fábio Mestriner</dc:creator>
</cp:coreProperties>
</file>